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0A5FB" w14:textId="77777777" w:rsidR="00A35BFD" w:rsidRDefault="00A35BFD" w:rsidP="0017581E">
      <w:pPr>
        <w:spacing w:after="200"/>
        <w:outlineLvl w:val="0"/>
        <w:rPr>
          <w:rFonts w:ascii="Times New Roman" w:hAnsi="Times New Roman"/>
          <w:b/>
        </w:rPr>
      </w:pPr>
    </w:p>
    <w:p w14:paraId="65AB0F51" w14:textId="77777777" w:rsidR="00A35BFD" w:rsidRPr="00A35BFD" w:rsidRDefault="00A35BFD" w:rsidP="00A35BFD">
      <w:pPr>
        <w:spacing w:after="160" w:line="259" w:lineRule="auto"/>
        <w:rPr>
          <w:rFonts w:ascii="Times New Roman" w:eastAsiaTheme="minorHAnsi" w:hAnsi="Times New Roman" w:cstheme="minorBidi"/>
          <w:szCs w:val="22"/>
          <w:lang w:eastAsia="en-US"/>
        </w:rPr>
      </w:pPr>
      <w:r w:rsidRPr="00A35BFD">
        <w:rPr>
          <w:rFonts w:ascii="Times New Roman" w:eastAsiaTheme="minorHAnsi" w:hAnsi="Times New Roman" w:cstheme="minorBidi"/>
          <w:i/>
          <w:iCs/>
          <w:szCs w:val="22"/>
          <w:lang w:eastAsia="en-US"/>
        </w:rPr>
        <w:t>Tax &amp; Business Alert</w:t>
      </w:r>
      <w:r w:rsidRPr="00A35BFD">
        <w:rPr>
          <w:rFonts w:ascii="Times New Roman" w:eastAsiaTheme="minorHAnsi" w:hAnsi="Times New Roman" w:cstheme="minorBidi"/>
          <w:szCs w:val="22"/>
          <w:lang w:eastAsia="en-US"/>
        </w:rPr>
        <w:t xml:space="preserve"> – January 2024</w:t>
      </w:r>
    </w:p>
    <w:p w14:paraId="6E7781CC" w14:textId="61DAAE1F" w:rsidR="00A35BFD" w:rsidRPr="00A35BFD" w:rsidRDefault="00A35BFD" w:rsidP="00A35BFD">
      <w:pPr>
        <w:spacing w:after="160" w:line="259" w:lineRule="auto"/>
        <w:rPr>
          <w:rFonts w:ascii="Times New Roman" w:eastAsiaTheme="minorHAnsi" w:hAnsi="Times New Roman" w:cstheme="minorBidi"/>
          <w:szCs w:val="22"/>
          <w:lang w:eastAsia="en-US"/>
        </w:rPr>
      </w:pPr>
      <w:r>
        <w:rPr>
          <w:rFonts w:ascii="Times New Roman" w:eastAsiaTheme="minorHAnsi" w:hAnsi="Times New Roman" w:cstheme="minorBidi"/>
          <w:szCs w:val="22"/>
          <w:lang w:eastAsia="en-US"/>
        </w:rPr>
        <w:t>381</w:t>
      </w:r>
      <w:r w:rsidRPr="00A35BFD">
        <w:rPr>
          <w:rFonts w:ascii="Times New Roman" w:eastAsiaTheme="minorHAnsi" w:hAnsi="Times New Roman" w:cstheme="minorBidi"/>
          <w:szCs w:val="22"/>
          <w:lang w:eastAsia="en-US"/>
        </w:rPr>
        <w:t xml:space="preserve"> words</w:t>
      </w:r>
    </w:p>
    <w:p w14:paraId="154796F0" w14:textId="4AEA8654" w:rsidR="0017581E" w:rsidRDefault="0017581E" w:rsidP="0017581E">
      <w:pPr>
        <w:spacing w:after="200"/>
        <w:outlineLvl w:val="0"/>
        <w:rPr>
          <w:b/>
        </w:rPr>
      </w:pPr>
      <w:r>
        <w:rPr>
          <w:rFonts w:ascii="Times New Roman" w:hAnsi="Times New Roman"/>
          <w:b/>
        </w:rPr>
        <w:t xml:space="preserve">Abstract:   </w:t>
      </w:r>
      <w:r>
        <w:rPr>
          <w:rFonts w:ascii="Times New Roman" w:hAnsi="Times New Roman"/>
          <w:bCs/>
        </w:rPr>
        <w:t xml:space="preserve">Many </w:t>
      </w:r>
      <w:r w:rsidR="00995BF6">
        <w:rPr>
          <w:rFonts w:ascii="Times New Roman" w:hAnsi="Times New Roman"/>
          <w:bCs/>
        </w:rPr>
        <w:t>businesses</w:t>
      </w:r>
      <w:r>
        <w:rPr>
          <w:rFonts w:ascii="Times New Roman" w:hAnsi="Times New Roman"/>
          <w:bCs/>
        </w:rPr>
        <w:t xml:space="preserve"> are eligible for </w:t>
      </w:r>
      <w:r w:rsidR="00043250">
        <w:rPr>
          <w:rFonts w:ascii="Times New Roman" w:hAnsi="Times New Roman"/>
          <w:bCs/>
        </w:rPr>
        <w:t xml:space="preserve">current </w:t>
      </w:r>
      <w:r>
        <w:rPr>
          <w:rFonts w:ascii="Times New Roman" w:hAnsi="Times New Roman"/>
          <w:bCs/>
        </w:rPr>
        <w:t xml:space="preserve">tax write-offs for certain equipment purchases and building improvements. These write-offs can do wonders for cash flow, but whether to claim them isn’t always an easy decision. In some cases, there are advantages to </w:t>
      </w:r>
      <w:r w:rsidR="00EC5322">
        <w:rPr>
          <w:rFonts w:ascii="Times New Roman" w:hAnsi="Times New Roman"/>
          <w:bCs/>
        </w:rPr>
        <w:t xml:space="preserve">choosing </w:t>
      </w:r>
      <w:r>
        <w:rPr>
          <w:rFonts w:ascii="Times New Roman" w:hAnsi="Times New Roman"/>
          <w:bCs/>
        </w:rPr>
        <w:t xml:space="preserve">the regular depreciation rules. This article </w:t>
      </w:r>
      <w:r w:rsidR="00D32B8E">
        <w:rPr>
          <w:rFonts w:ascii="Times New Roman" w:hAnsi="Times New Roman"/>
          <w:bCs/>
        </w:rPr>
        <w:t xml:space="preserve">looks at a couple of examples </w:t>
      </w:r>
      <w:r w:rsidR="0088060B">
        <w:rPr>
          <w:rFonts w:ascii="Times New Roman" w:hAnsi="Times New Roman"/>
          <w:bCs/>
        </w:rPr>
        <w:t>to show</w:t>
      </w:r>
      <w:r w:rsidR="00D32B8E">
        <w:rPr>
          <w:rFonts w:ascii="Times New Roman" w:hAnsi="Times New Roman"/>
          <w:bCs/>
        </w:rPr>
        <w:t xml:space="preserve"> </w:t>
      </w:r>
      <w:r>
        <w:rPr>
          <w:rFonts w:ascii="Times New Roman" w:hAnsi="Times New Roman"/>
          <w:bCs/>
        </w:rPr>
        <w:t>why it’s critical to look at the big picture and develop a strategy that aligns with a company’s overall tax</w:t>
      </w:r>
      <w:r w:rsidR="00787137">
        <w:rPr>
          <w:rFonts w:ascii="Times New Roman" w:hAnsi="Times New Roman"/>
          <w:bCs/>
        </w:rPr>
        <w:t xml:space="preserve"> </w:t>
      </w:r>
      <w:r>
        <w:rPr>
          <w:rFonts w:ascii="Times New Roman" w:hAnsi="Times New Roman"/>
          <w:bCs/>
        </w:rPr>
        <w:t xml:space="preserve">planning objectives. </w:t>
      </w:r>
      <w:r w:rsidR="00532415">
        <w:rPr>
          <w:rFonts w:ascii="Times New Roman" w:hAnsi="Times New Roman"/>
          <w:bCs/>
        </w:rPr>
        <w:t xml:space="preserve"> </w:t>
      </w:r>
    </w:p>
    <w:p w14:paraId="767642CF" w14:textId="1208877B" w:rsidR="0017581E" w:rsidRDefault="0017581E" w:rsidP="0017581E">
      <w:pPr>
        <w:spacing w:after="200"/>
        <w:outlineLvl w:val="0"/>
        <w:rPr>
          <w:rFonts w:ascii="Times New Roman" w:hAnsi="Times New Roman"/>
          <w:b/>
          <w:sz w:val="28"/>
          <w:szCs w:val="28"/>
        </w:rPr>
      </w:pPr>
      <w:r>
        <w:rPr>
          <w:rFonts w:ascii="Times New Roman" w:hAnsi="Times New Roman"/>
          <w:b/>
          <w:sz w:val="28"/>
          <w:szCs w:val="28"/>
        </w:rPr>
        <w:t xml:space="preserve">First-year bonus depreciation and Sec. 179 expensing: Beware </w:t>
      </w:r>
      <w:r w:rsidR="000E79EF">
        <w:rPr>
          <w:rFonts w:ascii="Times New Roman" w:hAnsi="Times New Roman"/>
          <w:b/>
          <w:sz w:val="28"/>
          <w:szCs w:val="28"/>
        </w:rPr>
        <w:t>of</w:t>
      </w:r>
      <w:r>
        <w:rPr>
          <w:rFonts w:ascii="Times New Roman" w:hAnsi="Times New Roman"/>
          <w:b/>
          <w:sz w:val="28"/>
          <w:szCs w:val="28"/>
        </w:rPr>
        <w:t xml:space="preserve"> pitfalls</w:t>
      </w:r>
    </w:p>
    <w:p w14:paraId="215079CE" w14:textId="5B3D4AF8" w:rsidR="00E47C57" w:rsidRDefault="0016270E" w:rsidP="001C1BD2">
      <w:pPr>
        <w:spacing w:after="200"/>
        <w:outlineLvl w:val="0"/>
        <w:rPr>
          <w:rFonts w:ascii="Times New Roman" w:hAnsi="Times New Roman"/>
          <w:bCs/>
        </w:rPr>
      </w:pPr>
      <w:r>
        <w:rPr>
          <w:rFonts w:ascii="Times New Roman" w:hAnsi="Times New Roman"/>
          <w:bCs/>
        </w:rPr>
        <w:t>Eligible t</w:t>
      </w:r>
      <w:r w:rsidR="0017581E">
        <w:rPr>
          <w:rFonts w:ascii="Times New Roman" w:hAnsi="Times New Roman"/>
          <w:bCs/>
        </w:rPr>
        <w:t xml:space="preserve">axpayers can elect to use </w:t>
      </w:r>
      <w:r w:rsidR="00C35442">
        <w:rPr>
          <w:rFonts w:ascii="Times New Roman" w:hAnsi="Times New Roman"/>
          <w:bCs/>
        </w:rPr>
        <w:t>b</w:t>
      </w:r>
      <w:r w:rsidR="0017581E">
        <w:rPr>
          <w:rFonts w:ascii="Times New Roman" w:hAnsi="Times New Roman"/>
          <w:bCs/>
        </w:rPr>
        <w:t xml:space="preserve">onus depreciation or Section 179 expensing to deduct the full cost of eligible property in the year it’s placed in service. Alternatively, they may spread depreciation deductions over several years or decades, depending on how the asset is classified under the tax code. </w:t>
      </w:r>
      <w:r w:rsidR="00885AD1">
        <w:rPr>
          <w:rFonts w:ascii="Times New Roman" w:hAnsi="Times New Roman"/>
          <w:bCs/>
        </w:rPr>
        <w:t xml:space="preserve"> </w:t>
      </w:r>
    </w:p>
    <w:p w14:paraId="149E9E9C" w14:textId="2E131AB0" w:rsidR="001C1BD2" w:rsidRDefault="00772CE4" w:rsidP="001C1BD2">
      <w:pPr>
        <w:spacing w:after="200"/>
        <w:outlineLvl w:val="0"/>
        <w:rPr>
          <w:rFonts w:ascii="Times New Roman" w:hAnsi="Times New Roman"/>
          <w:bCs/>
        </w:rPr>
      </w:pPr>
      <w:r>
        <w:rPr>
          <w:rFonts w:ascii="Times New Roman" w:hAnsi="Times New Roman"/>
          <w:bCs/>
        </w:rPr>
        <w:t>For 2023</w:t>
      </w:r>
      <w:r w:rsidR="00E15E16">
        <w:rPr>
          <w:rFonts w:ascii="Times New Roman" w:hAnsi="Times New Roman"/>
          <w:bCs/>
        </w:rPr>
        <w:t>,</w:t>
      </w:r>
      <w:r>
        <w:rPr>
          <w:rFonts w:ascii="Times New Roman" w:hAnsi="Times New Roman"/>
          <w:bCs/>
        </w:rPr>
        <w:t xml:space="preserve"> </w:t>
      </w:r>
      <w:r w:rsidR="00866F55">
        <w:rPr>
          <w:rFonts w:ascii="Times New Roman" w:hAnsi="Times New Roman"/>
          <w:bCs/>
        </w:rPr>
        <w:t>bonus depreciation</w:t>
      </w:r>
      <w:r>
        <w:rPr>
          <w:rFonts w:ascii="Times New Roman" w:hAnsi="Times New Roman"/>
          <w:bCs/>
        </w:rPr>
        <w:t xml:space="preserve"> was 80%</w:t>
      </w:r>
      <w:r w:rsidR="005521B1">
        <w:rPr>
          <w:rFonts w:ascii="Times New Roman" w:hAnsi="Times New Roman"/>
          <w:bCs/>
        </w:rPr>
        <w:t>. It drop</w:t>
      </w:r>
      <w:r w:rsidR="00077939">
        <w:rPr>
          <w:rFonts w:ascii="Times New Roman" w:hAnsi="Times New Roman"/>
          <w:bCs/>
        </w:rPr>
        <w:t>s</w:t>
      </w:r>
      <w:r w:rsidR="005521B1">
        <w:rPr>
          <w:rFonts w:ascii="Times New Roman" w:hAnsi="Times New Roman"/>
          <w:bCs/>
        </w:rPr>
        <w:t xml:space="preserve"> in 2024 to </w:t>
      </w:r>
      <w:r>
        <w:rPr>
          <w:rFonts w:ascii="Times New Roman" w:hAnsi="Times New Roman"/>
          <w:bCs/>
        </w:rPr>
        <w:t>60%</w:t>
      </w:r>
      <w:r w:rsidR="00395275">
        <w:rPr>
          <w:rFonts w:ascii="Times New Roman" w:hAnsi="Times New Roman"/>
          <w:bCs/>
        </w:rPr>
        <w:t xml:space="preserve">, in 2025 to 40% </w:t>
      </w:r>
      <w:r w:rsidR="00143D35">
        <w:rPr>
          <w:rFonts w:ascii="Times New Roman" w:hAnsi="Times New Roman"/>
          <w:bCs/>
        </w:rPr>
        <w:t xml:space="preserve">and </w:t>
      </w:r>
      <w:r w:rsidR="00395275">
        <w:rPr>
          <w:rFonts w:ascii="Times New Roman" w:hAnsi="Times New Roman"/>
          <w:bCs/>
        </w:rPr>
        <w:t xml:space="preserve">in 2026 to </w:t>
      </w:r>
      <w:r w:rsidR="009633AF">
        <w:rPr>
          <w:rFonts w:ascii="Times New Roman" w:hAnsi="Times New Roman"/>
          <w:bCs/>
        </w:rPr>
        <w:t>20%</w:t>
      </w:r>
      <w:r w:rsidR="00143D35">
        <w:rPr>
          <w:rFonts w:ascii="Times New Roman" w:hAnsi="Times New Roman"/>
          <w:bCs/>
        </w:rPr>
        <w:t>.</w:t>
      </w:r>
      <w:r w:rsidR="009633AF">
        <w:rPr>
          <w:rFonts w:ascii="Times New Roman" w:hAnsi="Times New Roman"/>
          <w:bCs/>
        </w:rPr>
        <w:t xml:space="preserve"> </w:t>
      </w:r>
      <w:r w:rsidR="00143D35">
        <w:rPr>
          <w:rFonts w:ascii="Times New Roman" w:hAnsi="Times New Roman"/>
          <w:bCs/>
        </w:rPr>
        <w:t xml:space="preserve">After that, it will be </w:t>
      </w:r>
      <w:r w:rsidR="00CE6BD2">
        <w:rPr>
          <w:rFonts w:ascii="Times New Roman" w:hAnsi="Times New Roman"/>
          <w:bCs/>
        </w:rPr>
        <w:t>eliminated, unless Congress acts to extend it.</w:t>
      </w:r>
      <w:r w:rsidR="00866F55">
        <w:rPr>
          <w:rFonts w:ascii="Times New Roman" w:hAnsi="Times New Roman"/>
          <w:bCs/>
        </w:rPr>
        <w:t xml:space="preserve"> </w:t>
      </w:r>
      <w:r w:rsidR="001C1BD2">
        <w:rPr>
          <w:rFonts w:ascii="Times New Roman" w:hAnsi="Times New Roman"/>
          <w:bCs/>
        </w:rPr>
        <w:t xml:space="preserve">While </w:t>
      </w:r>
      <w:r w:rsidR="00E3592B">
        <w:rPr>
          <w:rFonts w:ascii="Times New Roman" w:hAnsi="Times New Roman"/>
          <w:bCs/>
        </w:rPr>
        <w:t>taking current deductions</w:t>
      </w:r>
      <w:r w:rsidR="0017581E">
        <w:rPr>
          <w:rFonts w:ascii="Times New Roman" w:hAnsi="Times New Roman"/>
          <w:bCs/>
        </w:rPr>
        <w:t xml:space="preserve"> can significantly lower your company’s taxable income, </w:t>
      </w:r>
      <w:r w:rsidR="00E3592B">
        <w:rPr>
          <w:rFonts w:ascii="Times New Roman" w:hAnsi="Times New Roman"/>
          <w:bCs/>
        </w:rPr>
        <w:t>it isn’t</w:t>
      </w:r>
      <w:r w:rsidR="0017581E">
        <w:rPr>
          <w:rFonts w:ascii="Times New Roman" w:hAnsi="Times New Roman"/>
          <w:bCs/>
        </w:rPr>
        <w:t xml:space="preserve"> always </w:t>
      </w:r>
      <w:r w:rsidR="00FB0C33">
        <w:rPr>
          <w:rFonts w:ascii="Times New Roman" w:hAnsi="Times New Roman"/>
          <w:bCs/>
        </w:rPr>
        <w:t>the</w:t>
      </w:r>
      <w:r w:rsidR="0017581E">
        <w:rPr>
          <w:rFonts w:ascii="Times New Roman" w:hAnsi="Times New Roman"/>
          <w:bCs/>
        </w:rPr>
        <w:t xml:space="preserve"> smart</w:t>
      </w:r>
      <w:r w:rsidR="00FB0C33">
        <w:rPr>
          <w:rFonts w:ascii="Times New Roman" w:hAnsi="Times New Roman"/>
          <w:bCs/>
        </w:rPr>
        <w:t>est</w:t>
      </w:r>
      <w:r w:rsidR="0017581E">
        <w:rPr>
          <w:rFonts w:ascii="Times New Roman" w:hAnsi="Times New Roman"/>
          <w:bCs/>
        </w:rPr>
        <w:t xml:space="preserve"> move.</w:t>
      </w:r>
      <w:r>
        <w:rPr>
          <w:rFonts w:ascii="Times New Roman" w:hAnsi="Times New Roman"/>
          <w:bCs/>
        </w:rPr>
        <w:t xml:space="preserve"> </w:t>
      </w:r>
      <w:r w:rsidR="0017581E">
        <w:rPr>
          <w:rFonts w:ascii="Times New Roman" w:hAnsi="Times New Roman"/>
          <w:bCs/>
        </w:rPr>
        <w:t xml:space="preserve"> </w:t>
      </w:r>
    </w:p>
    <w:p w14:paraId="22396450" w14:textId="4A45A406" w:rsidR="0017581E" w:rsidRDefault="0017581E" w:rsidP="001C1BD2">
      <w:pPr>
        <w:spacing w:after="200"/>
        <w:outlineLvl w:val="0"/>
        <w:rPr>
          <w:rFonts w:ascii="Times New Roman" w:hAnsi="Times New Roman"/>
          <w:bCs/>
        </w:rPr>
      </w:pPr>
      <w:r>
        <w:rPr>
          <w:rFonts w:ascii="Times New Roman" w:hAnsi="Times New Roman"/>
          <w:bCs/>
        </w:rPr>
        <w:t xml:space="preserve">Here are </w:t>
      </w:r>
      <w:r w:rsidR="00641C18">
        <w:rPr>
          <w:rFonts w:ascii="Times New Roman" w:hAnsi="Times New Roman"/>
          <w:bCs/>
        </w:rPr>
        <w:t>two</w:t>
      </w:r>
      <w:r>
        <w:rPr>
          <w:rFonts w:ascii="Times New Roman" w:hAnsi="Times New Roman"/>
          <w:bCs/>
        </w:rPr>
        <w:t xml:space="preserve"> examples </w:t>
      </w:r>
      <w:r w:rsidR="00772CE4">
        <w:rPr>
          <w:rFonts w:ascii="Times New Roman" w:hAnsi="Times New Roman"/>
          <w:bCs/>
        </w:rPr>
        <w:t>when</w:t>
      </w:r>
      <w:r>
        <w:rPr>
          <w:rFonts w:ascii="Times New Roman" w:hAnsi="Times New Roman"/>
          <w:bCs/>
        </w:rPr>
        <w:t xml:space="preserve"> it may be preferable to forgo bonus depreciation or Sec. 179 expensing:</w:t>
      </w:r>
    </w:p>
    <w:p w14:paraId="0ECA1F24" w14:textId="2DF39167" w:rsidR="0017581E" w:rsidRDefault="0017581E" w:rsidP="0017581E">
      <w:pPr>
        <w:spacing w:after="200"/>
        <w:outlineLvl w:val="0"/>
        <w:rPr>
          <w:rFonts w:ascii="Times New Roman" w:hAnsi="Times New Roman"/>
          <w:bCs/>
        </w:rPr>
      </w:pPr>
      <w:r>
        <w:rPr>
          <w:rFonts w:ascii="Times New Roman" w:hAnsi="Times New Roman"/>
          <w:b/>
          <w:i/>
          <w:iCs/>
        </w:rPr>
        <w:t xml:space="preserve">1. You’re planning to sell </w:t>
      </w:r>
      <w:r w:rsidR="00D67467">
        <w:rPr>
          <w:rFonts w:ascii="Times New Roman" w:hAnsi="Times New Roman"/>
          <w:b/>
          <w:i/>
          <w:iCs/>
        </w:rPr>
        <w:t>qualified improvement property (</w:t>
      </w:r>
      <w:r>
        <w:rPr>
          <w:rFonts w:ascii="Times New Roman" w:hAnsi="Times New Roman"/>
          <w:b/>
          <w:i/>
          <w:iCs/>
        </w:rPr>
        <w:t>QIP</w:t>
      </w:r>
      <w:r w:rsidR="00D67467">
        <w:rPr>
          <w:rFonts w:ascii="Times New Roman" w:hAnsi="Times New Roman"/>
          <w:b/>
          <w:i/>
          <w:iCs/>
        </w:rPr>
        <w:t>)</w:t>
      </w:r>
      <w:r>
        <w:rPr>
          <w:rFonts w:ascii="Times New Roman" w:hAnsi="Times New Roman"/>
          <w:b/>
        </w:rPr>
        <w:t>.</w:t>
      </w:r>
      <w:r>
        <w:rPr>
          <w:rFonts w:ascii="Times New Roman" w:hAnsi="Times New Roman"/>
          <w:bCs/>
        </w:rPr>
        <w:t xml:space="preserve"> If you</w:t>
      </w:r>
      <w:r w:rsidR="00514E53">
        <w:rPr>
          <w:rFonts w:ascii="Times New Roman" w:hAnsi="Times New Roman"/>
          <w:bCs/>
        </w:rPr>
        <w:t xml:space="preserve"> have sign</w:t>
      </w:r>
      <w:r w:rsidR="00794724">
        <w:rPr>
          <w:rFonts w:ascii="Times New Roman" w:hAnsi="Times New Roman"/>
          <w:bCs/>
        </w:rPr>
        <w:t>i</w:t>
      </w:r>
      <w:r w:rsidR="00514E53">
        <w:rPr>
          <w:rFonts w:ascii="Times New Roman" w:hAnsi="Times New Roman"/>
          <w:bCs/>
        </w:rPr>
        <w:t>ficant</w:t>
      </w:r>
      <w:r>
        <w:rPr>
          <w:rFonts w:ascii="Times New Roman" w:hAnsi="Times New Roman"/>
          <w:bCs/>
        </w:rPr>
        <w:t xml:space="preserve"> building improvements that are eligible for bonus depreciation as QIP, </w:t>
      </w:r>
      <w:r w:rsidR="00346FAA">
        <w:rPr>
          <w:rFonts w:ascii="Times New Roman" w:hAnsi="Times New Roman"/>
          <w:bCs/>
        </w:rPr>
        <w:t xml:space="preserve">writing it off </w:t>
      </w:r>
      <w:r w:rsidR="00A32C40">
        <w:rPr>
          <w:rFonts w:ascii="Times New Roman" w:hAnsi="Times New Roman"/>
          <w:bCs/>
        </w:rPr>
        <w:t xml:space="preserve">currently </w:t>
      </w:r>
      <w:r w:rsidR="00346FAA">
        <w:rPr>
          <w:rFonts w:ascii="Times New Roman" w:hAnsi="Times New Roman"/>
          <w:bCs/>
        </w:rPr>
        <w:t>may be</w:t>
      </w:r>
      <w:r>
        <w:rPr>
          <w:rFonts w:ascii="Times New Roman" w:hAnsi="Times New Roman"/>
          <w:bCs/>
        </w:rPr>
        <w:t xml:space="preserve"> a tax trap</w:t>
      </w:r>
      <w:r w:rsidR="00346FAA">
        <w:rPr>
          <w:rFonts w:ascii="Times New Roman" w:hAnsi="Times New Roman"/>
          <w:bCs/>
        </w:rPr>
        <w:t xml:space="preserve"> </w:t>
      </w:r>
      <w:r>
        <w:rPr>
          <w:rFonts w:ascii="Times New Roman" w:hAnsi="Times New Roman"/>
          <w:bCs/>
        </w:rPr>
        <w:t xml:space="preserve">if you plan to sell the building </w:t>
      </w:r>
      <w:r w:rsidR="00A65785">
        <w:rPr>
          <w:rFonts w:ascii="Times New Roman" w:hAnsi="Times New Roman"/>
          <w:bCs/>
        </w:rPr>
        <w:t>soon</w:t>
      </w:r>
      <w:r>
        <w:rPr>
          <w:rFonts w:ascii="Times New Roman" w:hAnsi="Times New Roman"/>
          <w:bCs/>
        </w:rPr>
        <w:t>. That’s because your gain on the sale — up to the amount of bonus depreciation or Sec. 179 deductions you’ve claimed — will be treated as “recaptured” depreciation that’s taxable at ordinary-income tax rates</w:t>
      </w:r>
      <w:r w:rsidR="00A65785">
        <w:rPr>
          <w:rFonts w:ascii="Times New Roman" w:hAnsi="Times New Roman"/>
          <w:bCs/>
        </w:rPr>
        <w:t>, up to</w:t>
      </w:r>
      <w:r>
        <w:rPr>
          <w:rFonts w:ascii="Times New Roman" w:hAnsi="Times New Roman"/>
          <w:bCs/>
        </w:rPr>
        <w:t xml:space="preserve"> 37%. </w:t>
      </w:r>
      <w:r w:rsidR="00A65785">
        <w:rPr>
          <w:rFonts w:ascii="Times New Roman" w:hAnsi="Times New Roman"/>
          <w:bCs/>
        </w:rPr>
        <w:t xml:space="preserve">But </w:t>
      </w:r>
      <w:r>
        <w:rPr>
          <w:rFonts w:ascii="Times New Roman" w:hAnsi="Times New Roman"/>
          <w:bCs/>
        </w:rPr>
        <w:t>if you deduct the cost of QIP under regular depreciation rules (generally, over 15 years), any long-term gain attributable to th</w:t>
      </w:r>
      <w:r w:rsidR="009B2BCF">
        <w:rPr>
          <w:rFonts w:ascii="Times New Roman" w:hAnsi="Times New Roman"/>
          <w:bCs/>
        </w:rPr>
        <w:t>e</w:t>
      </w:r>
      <w:r>
        <w:rPr>
          <w:rFonts w:ascii="Times New Roman" w:hAnsi="Times New Roman"/>
          <w:bCs/>
        </w:rPr>
        <w:t xml:space="preserve"> deductions will be taxable at a top rate of 25% if the building is sold.</w:t>
      </w:r>
    </w:p>
    <w:p w14:paraId="7B1965E4" w14:textId="59720540" w:rsidR="0017581E" w:rsidRDefault="0017581E" w:rsidP="0017581E">
      <w:pPr>
        <w:spacing w:after="200"/>
        <w:outlineLvl w:val="0"/>
        <w:rPr>
          <w:rFonts w:ascii="Times New Roman" w:hAnsi="Times New Roman"/>
          <w:bCs/>
        </w:rPr>
      </w:pPr>
      <w:r>
        <w:rPr>
          <w:rFonts w:ascii="Times New Roman" w:hAnsi="Times New Roman"/>
          <w:b/>
          <w:i/>
          <w:iCs/>
        </w:rPr>
        <w:t xml:space="preserve">2. You’re eligible for the </w:t>
      </w:r>
      <w:r w:rsidR="007C57AE">
        <w:rPr>
          <w:rFonts w:ascii="Times New Roman" w:hAnsi="Times New Roman"/>
          <w:b/>
          <w:i/>
          <w:iCs/>
        </w:rPr>
        <w:t>qualified business income (QBI)</w:t>
      </w:r>
      <w:r>
        <w:rPr>
          <w:rFonts w:ascii="Times New Roman" w:hAnsi="Times New Roman"/>
          <w:b/>
          <w:i/>
          <w:iCs/>
        </w:rPr>
        <w:t xml:space="preserve"> deduction</w:t>
      </w:r>
      <w:r>
        <w:rPr>
          <w:rFonts w:ascii="Times New Roman" w:hAnsi="Times New Roman"/>
          <w:b/>
        </w:rPr>
        <w:t xml:space="preserve">. </w:t>
      </w:r>
      <w:r>
        <w:rPr>
          <w:rFonts w:ascii="Times New Roman" w:hAnsi="Times New Roman"/>
          <w:bCs/>
        </w:rPr>
        <w:t>This deduction allows eligible business owners to deduct up to 20% of their QBI from certain pass-through entities, such as partnerships, limited liability companies or sole proprietorships. The deduction</w:t>
      </w:r>
      <w:r w:rsidR="00D766BB">
        <w:rPr>
          <w:rFonts w:ascii="Times New Roman" w:hAnsi="Times New Roman"/>
          <w:bCs/>
        </w:rPr>
        <w:t xml:space="preserve"> —</w:t>
      </w:r>
      <w:r>
        <w:rPr>
          <w:rFonts w:ascii="Times New Roman" w:hAnsi="Times New Roman"/>
          <w:bCs/>
        </w:rPr>
        <w:t xml:space="preserve"> available through 2025</w:t>
      </w:r>
      <w:r w:rsidR="00D766BB">
        <w:rPr>
          <w:rFonts w:ascii="Times New Roman" w:hAnsi="Times New Roman"/>
          <w:bCs/>
        </w:rPr>
        <w:t xml:space="preserve"> —</w:t>
      </w:r>
      <w:r>
        <w:rPr>
          <w:rFonts w:ascii="Times New Roman" w:hAnsi="Times New Roman"/>
          <w:bCs/>
        </w:rPr>
        <w:t xml:space="preserve"> can’t exceed 20% of an owner’s taxable income, excluding net capital gains. (</w:t>
      </w:r>
      <w:r w:rsidR="00A61668">
        <w:rPr>
          <w:rFonts w:ascii="Times New Roman" w:hAnsi="Times New Roman"/>
          <w:bCs/>
        </w:rPr>
        <w:t>O</w:t>
      </w:r>
      <w:r>
        <w:rPr>
          <w:rFonts w:ascii="Times New Roman" w:hAnsi="Times New Roman"/>
          <w:bCs/>
        </w:rPr>
        <w:t>ther restrictions apply.)</w:t>
      </w:r>
    </w:p>
    <w:p w14:paraId="3C3C5A47" w14:textId="3D579883" w:rsidR="0017581E" w:rsidRDefault="0017581E" w:rsidP="00774BF8">
      <w:pPr>
        <w:spacing w:after="200"/>
        <w:outlineLvl w:val="0"/>
        <w:rPr>
          <w:rFonts w:ascii="Times New Roman" w:hAnsi="Times New Roman"/>
          <w:bCs/>
        </w:rPr>
      </w:pPr>
      <w:r>
        <w:rPr>
          <w:rFonts w:ascii="Times New Roman" w:hAnsi="Times New Roman"/>
          <w:bCs/>
        </w:rPr>
        <w:t xml:space="preserve">Claiming bonus depreciation or Sec. 179 deductions reduces your taxable income, which may deprive you of an opportunity to maximize </w:t>
      </w:r>
      <w:r w:rsidR="00BD6E39">
        <w:rPr>
          <w:rFonts w:ascii="Times New Roman" w:hAnsi="Times New Roman"/>
          <w:bCs/>
        </w:rPr>
        <w:t xml:space="preserve">the </w:t>
      </w:r>
      <w:r>
        <w:rPr>
          <w:rFonts w:ascii="Times New Roman" w:hAnsi="Times New Roman"/>
          <w:bCs/>
        </w:rPr>
        <w:t xml:space="preserve">QBI deduction. And since </w:t>
      </w:r>
      <w:r w:rsidR="003B55C8">
        <w:rPr>
          <w:rFonts w:ascii="Times New Roman" w:hAnsi="Times New Roman"/>
          <w:bCs/>
        </w:rPr>
        <w:t>it’s</w:t>
      </w:r>
      <w:r>
        <w:rPr>
          <w:rFonts w:ascii="Times New Roman" w:hAnsi="Times New Roman"/>
          <w:bCs/>
        </w:rPr>
        <w:t xml:space="preserve"> scheduled to expire in 2025, it makes sense to take advantage of it while you can.</w:t>
      </w:r>
    </w:p>
    <w:p w14:paraId="7260315A" w14:textId="77777777" w:rsidR="0017581E" w:rsidRDefault="0017581E" w:rsidP="0017581E">
      <w:pPr>
        <w:spacing w:after="200"/>
        <w:outlineLvl w:val="0"/>
        <w:rPr>
          <w:rFonts w:ascii="Times New Roman" w:hAnsi="Times New Roman"/>
          <w:b/>
        </w:rPr>
      </w:pPr>
      <w:r>
        <w:rPr>
          <w:rFonts w:ascii="Times New Roman" w:hAnsi="Times New Roman"/>
          <w:b/>
        </w:rPr>
        <w:t>Timing is everything</w:t>
      </w:r>
    </w:p>
    <w:p w14:paraId="6F52488C" w14:textId="5CD307AD" w:rsidR="0017581E" w:rsidRDefault="0017581E" w:rsidP="0017581E">
      <w:pPr>
        <w:spacing w:after="200"/>
        <w:outlineLvl w:val="0"/>
        <w:rPr>
          <w:rFonts w:ascii="Times New Roman" w:hAnsi="Times New Roman"/>
          <w:bCs/>
        </w:rPr>
      </w:pPr>
      <w:r>
        <w:rPr>
          <w:rFonts w:ascii="Times New Roman" w:hAnsi="Times New Roman"/>
          <w:bCs/>
        </w:rPr>
        <w:t xml:space="preserve">Keep in mind that </w:t>
      </w:r>
      <w:r w:rsidR="00F95B1F">
        <w:rPr>
          <w:rFonts w:ascii="Times New Roman" w:hAnsi="Times New Roman"/>
          <w:bCs/>
        </w:rPr>
        <w:t xml:space="preserve">only the timing of deductions </w:t>
      </w:r>
      <w:r w:rsidR="002E0C76">
        <w:rPr>
          <w:rFonts w:ascii="Times New Roman" w:hAnsi="Times New Roman"/>
          <w:bCs/>
        </w:rPr>
        <w:t>is</w:t>
      </w:r>
      <w:r w:rsidR="00F95B1F">
        <w:rPr>
          <w:rFonts w:ascii="Times New Roman" w:hAnsi="Times New Roman"/>
          <w:bCs/>
        </w:rPr>
        <w:t xml:space="preserve"> affected by the strategy you choose. </w:t>
      </w:r>
      <w:r>
        <w:rPr>
          <w:rFonts w:ascii="Times New Roman" w:hAnsi="Times New Roman"/>
          <w:bCs/>
        </w:rPr>
        <w:t xml:space="preserve">You’ll still have an opportunity to write off the full cost of eligible assets over a longer time period. </w:t>
      </w:r>
      <w:r>
        <w:rPr>
          <w:rFonts w:ascii="Times New Roman" w:hAnsi="Times New Roman"/>
          <w:bCs/>
        </w:rPr>
        <w:lastRenderedPageBreak/>
        <w:t>Your tax advisors can analyze</w:t>
      </w:r>
      <w:r w:rsidR="00B128FC">
        <w:rPr>
          <w:rFonts w:ascii="Times New Roman" w:hAnsi="Times New Roman"/>
          <w:bCs/>
        </w:rPr>
        <w:t xml:space="preserve"> </w:t>
      </w:r>
      <w:r w:rsidR="003B55C8">
        <w:rPr>
          <w:rFonts w:ascii="Times New Roman" w:hAnsi="Times New Roman"/>
          <w:bCs/>
        </w:rPr>
        <w:t>your company’s</w:t>
      </w:r>
      <w:r w:rsidR="00B128FC">
        <w:rPr>
          <w:rFonts w:ascii="Times New Roman" w:hAnsi="Times New Roman"/>
          <w:bCs/>
        </w:rPr>
        <w:t xml:space="preserve"> overall tax benefit picture and come up with an</w:t>
      </w:r>
      <w:r>
        <w:rPr>
          <w:rFonts w:ascii="Times New Roman" w:hAnsi="Times New Roman"/>
          <w:bCs/>
        </w:rPr>
        <w:t xml:space="preserve"> optimal strategy</w:t>
      </w:r>
      <w:r w:rsidR="003B55C8">
        <w:rPr>
          <w:rFonts w:ascii="Times New Roman" w:hAnsi="Times New Roman"/>
          <w:bCs/>
        </w:rPr>
        <w:t>.</w:t>
      </w:r>
      <w:r>
        <w:rPr>
          <w:rFonts w:ascii="Times New Roman" w:hAnsi="Times New Roman"/>
          <w:bCs/>
        </w:rPr>
        <w:t xml:space="preserve"> </w:t>
      </w:r>
    </w:p>
    <w:p w14:paraId="500AAF7F" w14:textId="54FF19B4" w:rsidR="00D8271B" w:rsidRDefault="009E2165">
      <w:r>
        <w:rPr>
          <w:rFonts w:ascii="Times New Roman" w:hAnsi="Times New Roman"/>
          <w:b/>
          <w:sz w:val="28"/>
          <w:szCs w:val="28"/>
        </w:rPr>
        <w:t xml:space="preserve"> </w:t>
      </w:r>
    </w:p>
    <w:sectPr w:rsidR="00D82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81E"/>
    <w:rsid w:val="00043250"/>
    <w:rsid w:val="0005309A"/>
    <w:rsid w:val="00077939"/>
    <w:rsid w:val="000E79EF"/>
    <w:rsid w:val="00143D35"/>
    <w:rsid w:val="0016270E"/>
    <w:rsid w:val="0017581E"/>
    <w:rsid w:val="00187EAC"/>
    <w:rsid w:val="001A68A5"/>
    <w:rsid w:val="001C1BD2"/>
    <w:rsid w:val="00237CF4"/>
    <w:rsid w:val="0026238E"/>
    <w:rsid w:val="002B44E3"/>
    <w:rsid w:val="002E0C76"/>
    <w:rsid w:val="00346FAA"/>
    <w:rsid w:val="00372718"/>
    <w:rsid w:val="00395275"/>
    <w:rsid w:val="003B55C8"/>
    <w:rsid w:val="003F1CE8"/>
    <w:rsid w:val="004B4748"/>
    <w:rsid w:val="00514E53"/>
    <w:rsid w:val="00532415"/>
    <w:rsid w:val="00533C60"/>
    <w:rsid w:val="005521B1"/>
    <w:rsid w:val="00641C18"/>
    <w:rsid w:val="006538CB"/>
    <w:rsid w:val="00666CCE"/>
    <w:rsid w:val="006E4D44"/>
    <w:rsid w:val="00720472"/>
    <w:rsid w:val="007645C8"/>
    <w:rsid w:val="00772CE4"/>
    <w:rsid w:val="00774BF8"/>
    <w:rsid w:val="00787137"/>
    <w:rsid w:val="00794724"/>
    <w:rsid w:val="007C57AE"/>
    <w:rsid w:val="007F6EF8"/>
    <w:rsid w:val="00866F55"/>
    <w:rsid w:val="0088060B"/>
    <w:rsid w:val="00885AD1"/>
    <w:rsid w:val="008A7255"/>
    <w:rsid w:val="009633AF"/>
    <w:rsid w:val="00977722"/>
    <w:rsid w:val="00995BF6"/>
    <w:rsid w:val="009B2BCF"/>
    <w:rsid w:val="009E2165"/>
    <w:rsid w:val="00A32C40"/>
    <w:rsid w:val="00A35BFD"/>
    <w:rsid w:val="00A61668"/>
    <w:rsid w:val="00A65785"/>
    <w:rsid w:val="00B128FC"/>
    <w:rsid w:val="00B14F13"/>
    <w:rsid w:val="00B31581"/>
    <w:rsid w:val="00B70E73"/>
    <w:rsid w:val="00BC0DA0"/>
    <w:rsid w:val="00BD6E39"/>
    <w:rsid w:val="00C35442"/>
    <w:rsid w:val="00C743AE"/>
    <w:rsid w:val="00C75942"/>
    <w:rsid w:val="00CE6BD2"/>
    <w:rsid w:val="00CF7432"/>
    <w:rsid w:val="00D32B8E"/>
    <w:rsid w:val="00D40F5E"/>
    <w:rsid w:val="00D67467"/>
    <w:rsid w:val="00D766BB"/>
    <w:rsid w:val="00D8271B"/>
    <w:rsid w:val="00DA2209"/>
    <w:rsid w:val="00DA5A22"/>
    <w:rsid w:val="00DB6E03"/>
    <w:rsid w:val="00DE5809"/>
    <w:rsid w:val="00E15E16"/>
    <w:rsid w:val="00E3592B"/>
    <w:rsid w:val="00E47C57"/>
    <w:rsid w:val="00EC5322"/>
    <w:rsid w:val="00EE305D"/>
    <w:rsid w:val="00F95B1F"/>
    <w:rsid w:val="00FB0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C076"/>
  <w15:chartTrackingRefBased/>
  <w15:docId w15:val="{0D36FE2B-DF9B-41AD-A1C1-C86A8075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81E"/>
    <w:pPr>
      <w:spacing w:after="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72718"/>
    <w:pPr>
      <w:spacing w:after="0" w:line="240" w:lineRule="auto"/>
    </w:pPr>
    <w:rPr>
      <w:rFonts w:ascii="Cambria" w:eastAsia="MS Mincho" w:hAnsi="Cambria" w:cs="Times New Roman"/>
      <w:sz w:val="24"/>
      <w:szCs w:val="24"/>
      <w:lang w:eastAsia="ja-JP"/>
    </w:rPr>
  </w:style>
  <w:style w:type="character" w:styleId="CommentReference">
    <w:name w:val="annotation reference"/>
    <w:basedOn w:val="DefaultParagraphFont"/>
    <w:uiPriority w:val="99"/>
    <w:semiHidden/>
    <w:unhideWhenUsed/>
    <w:rsid w:val="0005309A"/>
    <w:rPr>
      <w:sz w:val="16"/>
      <w:szCs w:val="16"/>
    </w:rPr>
  </w:style>
  <w:style w:type="paragraph" w:styleId="CommentText">
    <w:name w:val="annotation text"/>
    <w:basedOn w:val="Normal"/>
    <w:link w:val="CommentTextChar"/>
    <w:uiPriority w:val="99"/>
    <w:unhideWhenUsed/>
    <w:rsid w:val="0005309A"/>
    <w:rPr>
      <w:sz w:val="20"/>
      <w:szCs w:val="20"/>
    </w:rPr>
  </w:style>
  <w:style w:type="character" w:customStyle="1" w:styleId="CommentTextChar">
    <w:name w:val="Comment Text Char"/>
    <w:basedOn w:val="DefaultParagraphFont"/>
    <w:link w:val="CommentText"/>
    <w:uiPriority w:val="99"/>
    <w:rsid w:val="0005309A"/>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5309A"/>
    <w:rPr>
      <w:b/>
      <w:bCs/>
    </w:rPr>
  </w:style>
  <w:style w:type="character" w:customStyle="1" w:styleId="CommentSubjectChar">
    <w:name w:val="Comment Subject Char"/>
    <w:basedOn w:val="CommentTextChar"/>
    <w:link w:val="CommentSubject"/>
    <w:uiPriority w:val="99"/>
    <w:semiHidden/>
    <w:rsid w:val="0005309A"/>
    <w:rPr>
      <w:rFonts w:ascii="Cambria" w:eastAsia="MS Mincho" w:hAnsi="Cambria" w:cs="Times New Roman"/>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8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0B195-CB49-4587-8F61-04288BFEFF2C}">
  <ds:schemaRefs>
    <ds:schemaRef ds:uri="http://schemas.microsoft.com/sharepoint/v3/contenttype/forms"/>
  </ds:schemaRefs>
</ds:datastoreItem>
</file>

<file path=customXml/itemProps2.xml><?xml version="1.0" encoding="utf-8"?>
<ds:datastoreItem xmlns:ds="http://schemas.openxmlformats.org/officeDocument/2006/customXml" ds:itemID="{4326EB8F-B15B-495F-8A75-DC6E2DE51734}">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6D9F3FDC-A537-4B16-8C61-539C825D3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Ambord</dc:creator>
  <cp:keywords/>
  <dc:description/>
  <cp:lastModifiedBy>Teresa Ambord</cp:lastModifiedBy>
  <cp:revision>3</cp:revision>
  <dcterms:created xsi:type="dcterms:W3CDTF">2023-11-14T19:51:00Z</dcterms:created>
  <dcterms:modified xsi:type="dcterms:W3CDTF">2023-11-14T20:08:00Z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